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621" w:firstLine="0"/>
        <w:jc w:val="right"/>
        <w:spacing w:lineRule="auto" w:line="246" w:after="240" w:before="240"/>
        <w:widowControl w:val="off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t xml:space="preserve">  </w:t>
      </w:r>
      <w:bookmarkStart w:id="0" w:name="_GoBack"/>
      <w:r/>
      <w:bookmarkEnd w:id="0"/>
      <w: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Приложение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№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2 к прика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зу </w:t>
      </w: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№90-од от 03.01.2022г.</w:t>
      </w:r>
      <w:r/>
    </w:p>
    <w:p>
      <w:pPr>
        <w:ind w:left="0" w:right="-48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</w:r>
      <w:r/>
    </w:p>
    <w:p>
      <w:pPr>
        <w:ind w:left="0" w:firstLine="0"/>
        <w:jc w:val="center"/>
        <w:spacing w:lineRule="auto" w:line="246" w:after="240" w:before="240"/>
        <w:widowControl w:val="off"/>
        <w:rPr>
          <w:rFonts w:ascii="Times New Roman" w:hAnsi="Times New Roman" w:cs="Times New Roman" w:eastAsia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color w:val="auto"/>
          <w:sz w:val="24"/>
          <w:szCs w:val="24"/>
        </w:rPr>
        <w:t xml:space="preserve">Порядок и условия оказания медицинской помощи с применением телемедицинских технологий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АББРЕВИАТУРЫ, ТЕРМИНЫ И ИХ ОПРЕДЕЛЕНИЯ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1.1. Для целей настоящего документа используются следующие аббревиатуры: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ИС — информационная система;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ЦИСЗ — централизованная информационная система здравоохранения.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1.2. Для целей настоящего документа используются следующие термины и их определения: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Информационная система — телемедицинская информационная система «103.by», порядок и условия оказания медицинской помощи с применением которой регулируются настоящим документом;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Аутентификация — процедура проверки подлинности данных, предоставленных пользователем во время прохождения процедуры идентификации.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Идентификация — процедура, в результате выполнения которой для субъекта идентификации выявляется его идентификатор, однозначно определяющий этого субъекта в телемедицинской информационной системе;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Медицинская помощь — комплекс медицинских услуг, направленных на сохранение, укрепление и восстановление здоровья пациента, изменение и поддержание эстетического вида пациента, включающий медицинскую профилактику, диагностику, лечение, медицинскую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абилитацию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медицинскую реабилитацию и протезирование, осуществляемый медицинскими работниками;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Онлайн-консультация — медицинская помощь, оказываемая медицинским работником организации здравоохранения с использованием телемедицинской информационной системы;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Оператор — оператор телемедицинской информационной системы «103.by»;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Организация здравоохранения - юри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дическое лицо или индивидуальный предприниматель, имеющие соответствующие специальные разрешения (лицензии) на осуществление медицинской деятельности, подключенные к ИС и непосредственно проводящие онлайн-консультации с пользователями с использованием ИС;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Пациент — физическое лицо, обратившееся за медицинской помощью, находящееся под медицинским наблюдением либо получающее медицинскую помощь;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Персональные данные — любая информация, относящаяся к идентифицированному физическому лицу или физическому лицу, которое может быть идентифицировано; Пользователь — любое физическое лицо, достигшее в соответствии 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законодате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льством Республики Беларусь возраста полной дееспособности и использующее телемедицинские технологии, порядок и условия использования которых в целях оказания медицинской помощи регулируются настоящим документом (например, пациент и (или) субъект данных);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Согласие — свободное, однозначное, информированное выражение воли субъекта данных, посредством которого он/она разрешает обработку своих персональных данных;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Субъект данных — физическое лицо, в отношении которого осуществляется обработка персональных данных;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Сайт — интернет-сайт 103.by с учетом всех уровней доменных имен, а также его мобильное приложение 103.by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iOS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Android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App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Store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Google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Play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соответственно.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1.3. В случаях, когда какой-либо из терминов, упоминающийся в рамках настоящего документа, им не определен, такой термин определяется в соответствии с применимым законодательством Республики Беларусь.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1.4. В случаях, когда какой-либо из терминов, упоминающийся в рамках настоящего документа и им определенный, определяется применимым законодат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ельством Республики Беларусь в сфере здравоохранения и (или) защиты персональных данных иным образом, данный термин определяется в соответствии с применимым законодательством Республики Беларусь в сфере здравоохранения и (или) защиты персональных данных.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ОБЩИЕ ПОЛОЖЕНИЯ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2.1. Настоящие Порядок и условия оказания медицинской помощи с применением телемедицинских технологий (далее - Порядок и условия оказания медицинской помощи) регулируют порядок проведения организациями здравоохранения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онлайнконсультаций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 пользователями с применением ИС.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2.2. Оператором ИС является следующее юридическое лицо: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Общество с ограниченной ответственностью «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Артокс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Лаб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» УНП 191700409 ул.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Толбухина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д. 2, пом. 16 служба техподдержки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Моб.: +375 29 121-27-55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E-mail: telemed@artox.com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2.3. Оператор осуществляет администрирование, техническую и пользовательскую поддержку ИС.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Оператор не является организацией здравоохранения и (или) поставщиком медицинских услуг.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2.4. Медицинская помощь, оказываемая с использованием ИС, может иметь как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возмездный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так и безвозмездный характер.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2.5. Возмездный или безвозмездный характер оказания медицинской помощи с использованием ИС устанавливается организацией здравоохранения, медицинские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работники которой оказывают медицинскую помощь с использованием ИС в каждом конкретном случае оказания такой медицинской помощи.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2.6. В случае возмездного характера оказания медицинской помощи с использованием ИС стоимость оказания медицинской помощи указывается в разделе «Цены» на персональной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странице  организации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здравоохранения,  размещенной на Сайте.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2.7. Оплата стоимости оказания медицинской помощи, оказываемой с использованием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ИС, осуществляется в безналичной форме при помощи банковских карт через сеть Интернет в соответствии с Правилами оплаты и возврата платежей. Оплата должна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быть  произведена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 до начала  онлайн-консультации. В случае неоплаты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онлайнконсультации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до ее начала пользовательская ссылка на онлайн-консультации не будет активирована.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2.8. Правила оплаты и возврата платежей размещаются в открытом доступе на Сайте и могут быть изменены без предварительного уведомления пользователя.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2.9. Режим оказания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организациеи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здравоохранения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помощи с использованием ИС определяется в соответствии 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внутреннием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распорядком и правилами соответствующей организации здравоохранения. Доступное время для проведения онлайн-консультаций размещается на Сайте.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2.10. Оператор в своей деятельности руководствуется требованиями законодательства Республики Беларусь в сфере защиты информации и защиты персональных данных.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2.11. Любые сбор и обработка персональных данных регулируются Политиками Оператора и организации здравоохранения в отношении обработки персональных данных.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ПОРЯДОК ДАЧИ И ОТЗЫВА СОГЛАСИЯ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3.1. Дача согласия пациента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  обработку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персональных данных, информации в ИС осуществляется посредством функциональных возможностей ИС и без использования ЦИСЗ.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2. Форма согласия пациента на внесение и обработку персональных данных, информации, составляющей врачебную тайну, в ИС размещается Оператором в открытом доступе и предоставляется каждому пользователю для ознакомления непосредственно перед дачей согласия.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3.3. Дача согласия пациентом осуществляется в электронной форме с использованием проставления соответствующей отметки в ИС.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3.4. Согласие пациента на внесение и обработку персональных данных, информации, составляющей врачебную тайну, в ИС может быть дано: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3.4.1. самим пользователем;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3.4.2. законным представителем несовершеннолетнего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3.4.3. опекуном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3.4.4. супругом (супругой) или одним из близких родственников пациента не способного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 состоянию здоровья к принятию осознанного решения.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3.5. Отзыв согласия пациента на внесение и обработку персональных данных, информации, составляющей врачебную тайну, в ИС, может быть подан: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3.5.1. онлайн в виде документа в электронном формате, отправленного на адрес электронной почты Оператора: otzyvpersdata@103.by;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3.5.2 офлайн при личном посещении организации здравоохранения и передачи письменного заявления;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3.5.3. офлайн при направлении письма с письменным заявлением в адрес организации здравоохранения.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3.6. Заявление пациента на отзыв согласия на внесение и обработку персональных данных, информации, составляющей врачебную тайну в ИС должно содержать: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фамилию, собственное имя, отчество (если таковое имеется) пациента, адрес его места жительства (места пребывания);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дату рождения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изложение сути требований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личную подпись либо электронную цифровую подпись пациента.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3.7. Заявление на отзыв согласия на внесение и обработку персональных данных, информации, составляющей врачебную тайну, в телемедицинскую информационную систему «103.by» может быть подано: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дееспособным пациентом;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законным представителем несовершеннолетнего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опекуном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супругом (супругой) или одним из близких родственников пациента не способного по состоянию здоровья к принятию осознанного решения.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3.8. Организац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ия здравоохранения рассматривает заявление на отзыв согласия на внесение и обработку персональных данных, информации, составляющей врачебную тайну, в телемедицинскую информационную систему «103.by» в срок, не превышающий 15 (пятнадцати) календарных дней.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ПОРЯДОК ИДЕНТИФИКАЦИИ И АУТЕНТИФИКАЦИИ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4.1. Идентификация и аутентификация пользователя осуществляется посредством программно-технических и функциональных возможностей ИС без использования ЦИСЗ.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4.2. В процессе идентификации пользователя Оператор использует персональные данные, предоставленные самим пользователем.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4.3. Медицинские работники организации здравоохранения, оказывающие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медицинскую помощь с использованием ИС, проводят дополнительную аутентификацию пользователя перед непосредственным началом оказания медицинской помощи.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.4. Дополнительная аутентификация пользователя медицинскими работниками организации здравоохранения осуществляется в рамках видеоконференции путем сравнения видеоизображения пользователя с фотографией пользователя из паспорта, находящегося у пользователя.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4.5. Медицинская помощь пользователю с использованием ИС оказывается исключительно в случае успешной прохождения процедуры идентификации, аутентификации.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4.6. Медицинские работники организации здравоохранения сохраняют за собой право отказать пользователю в оказании медицинской помощи с использованием ИС в случае неуспешного прохождения процедуры дополнительной аутентификации.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ПОРЯДОК ПОЛУЧЕНИЯ МЕДИЦИНСКОЙ ПОМОЩИ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5.1. В рамках использования ИС Оператор несет ответственность исключительно за работоспособность ИС, ее элементов и представление к ней доступа. Медицинская помощь оказывается непосредственно организациями здравоохранения, использующими ИС.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5.2. Организации здравоохранения обеспечивают оказание медицинской помощи на основании информации, указанной в ИС или на Сайт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е, в соответствии с клиническими протоколами, а также иными нормативными правовыми актами Министерства здравоохранения Республики Беларусь, с применением методов оказания медицинской помощи, утвержденных Министерством здравоохранения Республики Беларусь.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5.3. Организации здравоохранения при оказании медицинской помощи с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использованием ИС руководствуются требованиями Закона Республики Беларусь от 18.06.1993 № 2435-XII «О здравоохранении», Закона Республики Беларусь от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09.01.2002 №90-З «О защите прав потребителей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»,  Положения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об особенност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ях оказания медицинской помощи с применением телемедицинских технологий, утвержденного постановлением Министерства здравоохранения Республики Беларусь от 28.05.2021 № 65, иных нормативных правовых актов, регламентирующих порядок и условия оказания услуг.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4.При оказании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помощи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  использованием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ИС лечащим врачом может осуществляться коррекция ранее назначенного лечения при условии установления им диагноза и назначения лечения на очном приеме (осмотре, консультации).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 результатам оказания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помощи с применением телемедицинских технологий лечащим врачом: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осуществляется соответствующая запись о корректировке и (или) пролонгации ранее назначенного лечения в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документации пациента;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формируется рецепт врача;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назначаются необходимые дополнительные обследования;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выдается медицинское заключение, в том числе в форме электронного документа.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При оказании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помощи с использованием ИС допускается исключительно повторное оказание медицинской помощи тем же работником организации здравоохранения и в отношении того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же медицинского вопроса (заключения, заболевания и др.). Любая иная медицинская помощь без предварительного установления таким же медицинским работником диагноза и назначения лечения на предварительном очном приеме (осмотре, консультации) не допускается.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При оказании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помощи с применением ИС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работник в пределах компетенции обеспечивает принятие своевременных мер при критическом отклонении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показателеи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состояния здоровья пациента от предельных значений.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рамках персональных страниц организаций здравоохранения на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Сайте  указывается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следующая информация: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 объеме лечебно-диагностических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возможностеи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или лицензируемых работ, услуг, в соответствии с которыми оказывается медицинская помощь с применением ИС;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 ООО «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Артокс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Лаб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», являющемся оператором телемедицинской информационной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системы ;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настоящий Порядок и условия оказания медицинской помощи;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информация о консультантах в соответствии с п.5.6 настоящего Порядка.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рамках персональных страниц консультантов (медицинских работников, оказывающих медицинскую помощь) на Сайте указывается следующая информация: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фамилия, собственное имя, отчество (при наличии);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занимаемая должность консультанта в организации здравоохранения;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стаж работы по специальности (лет);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сведения о квалификационной категории, ученой степени; ● график работы.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Для получения медицинской помощи с использованием ИС пользователь: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согласовывает онлайн-консультацию с организацией здравоохранения по телефону / использует функциональную возможность записи на прием в ИС;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получает СМС-ссылку на онлайн-консультацию на указанный им номер телефона;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дает согласие на внесение и обработку персональных данных, информации, составляющей врачебную тайну;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ознакамливается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с иными юридическими документами, регулирующими оказание медицинской помощи с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использованием  ИС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осуществляет оплату выбранной медицинской услуги;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отправляет необходимые документы медицинскому работнику (в случае необходимости);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назначенную дату и время проходит дополнительную аутентификацию медицинских работником, оказывающим медицинскую помощь;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получает медицинскую помощь;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получает медицинское заключение и сопутствующие материалы (например, историю чата с медицинским работником) выбранным способом;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при невозможности проведения онлайн-консультации в назначенное время возврат Пользователю уплаченных за услугу денежных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средств  производится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на условиях,  указанных в Правилах оплаты и возврата платежей.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ПОРЯДОК ПОЛУЧЕНИЯ МЕДИЦИНСКОГО ЗАКЛЮЧЕНИЯ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6.1. Документация, полученная по результатам дистанционного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взаимодействия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медицинского работника с пользователями, подлежит внесению в медицинскую карту пациента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организациеи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здравоохранения,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оказывающеи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̆ медицинскую помощь с применением ИС.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6.2. В рамках оказания медицинской помощи с использованием ИС пользователь имеет возможность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обмениваться  с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врачом: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текстовыми  документами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в следующих электронных форматах: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doc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docx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pdf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.txt, .rtf, .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html,  .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odt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, .xml, .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xps</w:t>
      </w:r>
      <w:r>
        <w:rPr>
          <w:rFonts w:ascii="Times New Roman" w:hAnsi="Times New Roman" w:cs="Times New Roman" w:eastAsia="Times New Roman"/>
          <w:color w:val="auto"/>
          <w:sz w:val="24"/>
          <w:szCs w:val="24"/>
          <w:lang w:val="en-US"/>
        </w:rPr>
        <w:t xml:space="preserve">.;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графическими и текстовыми документами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  следующих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электронных форматах: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jpeg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png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gif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pdf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wmf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emf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, .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bmp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.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Размер загружаемых пользователем документов в рамках одного файла не должен превышать 150 МБ.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Медицинское заключение представляет собой документ в электронном виде с указанием фамилии, имени,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отчества,  (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если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таковое имеется), даты рождения, протокол исследования,  заключение и рекомендации по результатам оказания медицинской помощи,  даты выдачи, а также фамилии, имени, отчества (если таковое имеется) врача-специалиста, проводившего медицинское обследование.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Медицинское заключение может быть получено пациентом или его/ее законным представителем как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оффлайн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(бумажная копия при личном посещении организации здравоохранения), так и онлайн (путем получения документа в электронной форме на адрес электронной почты).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Медицинское заключения на бумажной копии с печатью организации здравоохранения может быть получено пациентом лично (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оффлайн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) в организации здравоохранения при предъявлении документа, удостоверяющего личность.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Медицинское заключения может быть получено пользователем посредством общедоступных каналов связи (онлайн):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на адрес электронной почты пользователя, указанный в ИС (при выборе пользователем данного способа получения медицинского заключения в ИС).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Пользователи самостоятельно несут риски информационной безопасности, связанные с несанкционированным доступом в личные аккаунты, на которые необходимо направить медицинское заключение.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Во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избежании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инцидентов информационной безопасности пользователи обязаны обеспечивать сохранность любых личных реквизитов доступа (логин, пароль и др.).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ПОРЯДОК ОТМЕНЫ ОНЛАЙН-КОНСУЛЬТАЦИИ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7.1. При невозможности проведения онлайн-консультации по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независящим от Сторон обстоятельствам организация здравоохранения обязуется уведомить об этом пользователя не позднее 1 (одного) часа до проведения консультации, в том числе посредством связи с пользователем по телефону, электронной почте, иным способом.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7.2. Пользователь имеет право отменить онлайн-консультацию путем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обращения  в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медицинское учреждение до момента начала онлайн-консультации.   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7.3. Организация здравоохранения может предложить пользователю в случае отмены онлайн-консультации проведение онлайн-консультации в иное согласованное Сторонами время, оказание иной услуги или возврат уплаченных пользователем денежных средств.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7.4. Сроки, порядок и условия возврата денежных средств в случае отмены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онлайнконсультации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указаны в Правилах оплаты и возврата платежей, размещенных на Сайте.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7.5. Возврат денежных средств организацией здравоохранения производится по реквизитам банковской карты пользователя, указанной при оплате 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онлайнконсультации</w:t>
      </w: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. </w:t>
      </w:r>
      <w:r/>
    </w:p>
    <w:p>
      <w:pPr>
        <w:ind w:left="0" w:firstLine="0"/>
        <w:jc w:val="both"/>
        <w:spacing w:lineRule="auto" w:line="246" w:after="240" w:before="240"/>
        <w:widowControl w:val="off"/>
        <w:rPr>
          <w:rFonts w:ascii="Times New Roman" w:hAnsi="Times New Roman" w:cs="Times New Roman" w:eastAsia="Times New Roman"/>
          <w:color w:val="auto"/>
          <w:sz w:val="24"/>
          <w:szCs w:val="24"/>
        </w:rPr>
      </w:pPr>
      <w:r>
        <w:rPr>
          <w:rFonts w:ascii="Times New Roman" w:hAnsi="Times New Roman" w:cs="Times New Roman" w:eastAsia="Times New Roman"/>
          <w:color w:val="auto"/>
          <w:sz w:val="24"/>
          <w:szCs w:val="24"/>
        </w:rPr>
        <w:t xml:space="preserve"> </w:t>
      </w:r>
      <w:r/>
    </w:p>
    <w:sectPr>
      <w:footnotePr/>
      <w:endnotePr/>
      <w:type w:val="nextPage"/>
      <w:pgSz w:w="11909" w:h="16834" w:orient="portrait"/>
      <w:pgMar w:top="851" w:right="1451" w:bottom="1446" w:left="144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pStyle w:val="615"/>
      <w:isLgl w:val="false"/>
      <w:suff w:val="tab"/>
      <w:lvlText w:val="%1."/>
      <w:lvlJc w:val="left"/>
      <w:pPr>
        <w:ind w:left="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lowerLetter"/>
      <w:isLgl w:val="false"/>
      <w:suff w:val="tab"/>
      <w:lvlText w:val="%2"/>
      <w:lvlJc w:val="left"/>
      <w:pPr>
        <w:ind w:left="14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21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28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3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43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50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57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64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1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2"/>
      <w:numFmt w:val="decimal"/>
      <w:isLgl w:val="false"/>
      <w:suff w:val="tab"/>
      <w:lvlText w:val="%1.%2."/>
      <w:lvlJc w:val="left"/>
      <w:pPr>
        <w:ind w:left="1149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054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10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18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25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32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39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46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4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bullet"/>
      <w:lvlRestart w:val="0"/>
      <w:isLgl w:val="false"/>
      <w:suff w:val="tab"/>
      <w:lvlText w:val="●"/>
      <w:lvlJc w:val="left"/>
      <w:pPr>
        <w:ind w:left="7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3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4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bullet"/>
      <w:lvlRestart w:val="0"/>
      <w:isLgl w:val="false"/>
      <w:suff w:val="tab"/>
      <w:lvlText w:val="●"/>
      <w:lvlJc w:val="left"/>
      <w:pPr>
        <w:ind w:left="7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1"/>
      <w:numFmt w:val="bullet"/>
      <w:isLgl w:val="false"/>
      <w:suff w:val="tab"/>
      <w:lvlText w:val="o"/>
      <w:lvlJc w:val="left"/>
      <w:pPr>
        <w:ind w:left="14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bullet"/>
      <w:isLgl w:val="false"/>
      <w:suff w:val="tab"/>
      <w:lvlText w:val="▪"/>
      <w:lvlJc w:val="left"/>
      <w:pPr>
        <w:ind w:left="21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bullet"/>
      <w:isLgl w:val="false"/>
      <w:suff w:val="tab"/>
      <w:lvlText w:val="•"/>
      <w:lvlJc w:val="left"/>
      <w:pPr>
        <w:ind w:left="28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bullet"/>
      <w:isLgl w:val="false"/>
      <w:suff w:val="tab"/>
      <w:lvlText w:val="o"/>
      <w:lvlJc w:val="left"/>
      <w:pPr>
        <w:ind w:left="36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bullet"/>
      <w:isLgl w:val="false"/>
      <w:suff w:val="tab"/>
      <w:lvlText w:val="▪"/>
      <w:lvlJc w:val="left"/>
      <w:pPr>
        <w:ind w:left="43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bullet"/>
      <w:isLgl w:val="false"/>
      <w:suff w:val="tab"/>
      <w:lvlText w:val="•"/>
      <w:lvlJc w:val="left"/>
      <w:pPr>
        <w:ind w:left="50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bullet"/>
      <w:isLgl w:val="false"/>
      <w:suff w:val="tab"/>
      <w:lvlText w:val="o"/>
      <w:lvlJc w:val="left"/>
      <w:pPr>
        <w:ind w:left="57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bullet"/>
      <w:isLgl w:val="false"/>
      <w:suff w:val="tab"/>
      <w:lvlText w:val="▪"/>
      <w:lvlJc w:val="left"/>
      <w:pPr>
        <w:ind w:left="64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6">
    <w:multiLevelType w:val="hybridMultilevel"/>
    <w:lvl w:ilvl="0">
      <w:start w:val="6"/>
      <w:numFmt w:val="decimal"/>
      <w:isLgl w:val="false"/>
      <w:suff w:val="tab"/>
      <w:lvlText w:val="%1"/>
      <w:lvlJc w:val="left"/>
      <w:pPr>
        <w:ind w:left="3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3"/>
      <w:numFmt w:val="decimal"/>
      <w:lvlRestart w:val="0"/>
      <w:isLgl w:val="false"/>
      <w:suff w:val="tab"/>
      <w:lvlText w:val="%1.%2."/>
      <w:lvlJc w:val="left"/>
      <w:pPr>
        <w:ind w:left="73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lowerRoman"/>
      <w:isLgl w:val="false"/>
      <w:suff w:val="tab"/>
      <w:lvlText w:val="%3"/>
      <w:lvlJc w:val="left"/>
      <w:pPr>
        <w:ind w:left="10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18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25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32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39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46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54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abstractNum w:abstractNumId="7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3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1">
      <w:start w:val="7"/>
      <w:numFmt w:val="decimal"/>
      <w:isLgl w:val="false"/>
      <w:suff w:val="tab"/>
      <w:lvlText w:val="%1.%2"/>
      <w:lvlJc w:val="left"/>
      <w:pPr>
        <w:ind w:left="3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2">
      <w:start w:val="1"/>
      <w:numFmt w:val="decimal"/>
      <w:lvlRestart w:val="0"/>
      <w:isLgl w:val="false"/>
      <w:suff w:val="tab"/>
      <w:lvlText w:val="%1.%2.%3."/>
      <w:lvlJc w:val="left"/>
      <w:pPr>
        <w:ind w:left="1334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3">
      <w:start w:val="1"/>
      <w:numFmt w:val="decimal"/>
      <w:isLgl w:val="false"/>
      <w:suff w:val="tab"/>
      <w:lvlText w:val="%4"/>
      <w:lvlJc w:val="left"/>
      <w:pPr>
        <w:ind w:left="10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4">
      <w:start w:val="1"/>
      <w:numFmt w:val="lowerLetter"/>
      <w:isLgl w:val="false"/>
      <w:suff w:val="tab"/>
      <w:lvlText w:val="%5"/>
      <w:lvlJc w:val="left"/>
      <w:pPr>
        <w:ind w:left="180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5">
      <w:start w:val="1"/>
      <w:numFmt w:val="lowerRoman"/>
      <w:isLgl w:val="false"/>
      <w:suff w:val="tab"/>
      <w:lvlText w:val="%6"/>
      <w:lvlJc w:val="left"/>
      <w:pPr>
        <w:ind w:left="252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6">
      <w:start w:val="1"/>
      <w:numFmt w:val="decimal"/>
      <w:isLgl w:val="false"/>
      <w:suff w:val="tab"/>
      <w:lvlText w:val="%7"/>
      <w:lvlJc w:val="left"/>
      <w:pPr>
        <w:ind w:left="324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7">
      <w:start w:val="1"/>
      <w:numFmt w:val="lowerLetter"/>
      <w:isLgl w:val="false"/>
      <w:suff w:val="tab"/>
      <w:lvlText w:val="%8"/>
      <w:lvlJc w:val="left"/>
      <w:pPr>
        <w:ind w:left="396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  <w:lvl w:ilvl="8">
      <w:start w:val="1"/>
      <w:numFmt w:val="lowerRoman"/>
      <w:isLgl w:val="false"/>
      <w:suff w:val="tab"/>
      <w:lvlText w:val="%9"/>
      <w:lvlJc w:val="left"/>
      <w:pPr>
        <w:ind w:left="4680"/>
      </w:pPr>
      <w:rPr>
        <w:rFonts w:ascii="Arial" w:hAnsi="Arial" w:cs="Arial" w:eastAsia="Arial"/>
        <w:b w:val="false"/>
        <w:i w:val="false"/>
        <w:strike w:val="false"/>
        <w:color w:val="000000"/>
        <w:sz w:val="22"/>
        <w:szCs w:val="22"/>
        <w:u w:val="none"/>
        <w:shd w:val="clear" w:fill="auto" w:color="auto"/>
        <w:vertAlign w:val="baseline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6"/>
    <w:link w:val="615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4"/>
    <w:next w:val="61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6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4"/>
    <w:next w:val="61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6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4"/>
    <w:next w:val="61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6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4"/>
    <w:next w:val="61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6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4"/>
    <w:next w:val="61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4"/>
    <w:next w:val="61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4"/>
    <w:next w:val="61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4"/>
    <w:next w:val="61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14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4"/>
    <w:next w:val="614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6"/>
    <w:link w:val="32"/>
    <w:uiPriority w:val="10"/>
    <w:rPr>
      <w:sz w:val="48"/>
      <w:szCs w:val="48"/>
    </w:rPr>
  </w:style>
  <w:style w:type="paragraph" w:styleId="34">
    <w:name w:val="Subtitle"/>
    <w:basedOn w:val="614"/>
    <w:next w:val="61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6"/>
    <w:link w:val="34"/>
    <w:uiPriority w:val="11"/>
    <w:rPr>
      <w:sz w:val="24"/>
      <w:szCs w:val="24"/>
    </w:rPr>
  </w:style>
  <w:style w:type="paragraph" w:styleId="36">
    <w:name w:val="Quote"/>
    <w:basedOn w:val="614"/>
    <w:next w:val="61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4"/>
    <w:next w:val="61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4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6"/>
    <w:link w:val="40"/>
    <w:uiPriority w:val="99"/>
  </w:style>
  <w:style w:type="paragraph" w:styleId="42">
    <w:name w:val="Footer"/>
    <w:basedOn w:val="614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6"/>
    <w:link w:val="42"/>
    <w:uiPriority w:val="99"/>
  </w:style>
  <w:style w:type="paragraph" w:styleId="44">
    <w:name w:val="Caption"/>
    <w:basedOn w:val="614"/>
    <w:next w:val="61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1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6"/>
    <w:uiPriority w:val="99"/>
    <w:unhideWhenUsed/>
    <w:rPr>
      <w:vertAlign w:val="superscript"/>
    </w:rPr>
  </w:style>
  <w:style w:type="paragraph" w:styleId="176">
    <w:name w:val="endnote text"/>
    <w:basedOn w:val="61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6"/>
    <w:uiPriority w:val="99"/>
    <w:semiHidden/>
    <w:unhideWhenUsed/>
    <w:rPr>
      <w:vertAlign w:val="superscript"/>
    </w:rPr>
  </w:style>
  <w:style w:type="paragraph" w:styleId="179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  <w:rPr>
      <w:rFonts w:ascii="Arial" w:hAnsi="Arial" w:cs="Arial" w:eastAsia="Arial"/>
      <w:color w:val="000000"/>
    </w:rPr>
    <w:pPr>
      <w:ind w:left="10" w:hanging="10"/>
      <w:spacing w:lineRule="auto" w:line="304" w:after="212"/>
    </w:pPr>
  </w:style>
  <w:style w:type="paragraph" w:styleId="615">
    <w:name w:val="Heading 1"/>
    <w:next w:val="614"/>
    <w:link w:val="619"/>
    <w:qFormat/>
    <w:uiPriority w:val="9"/>
    <w:unhideWhenUsed/>
    <w:rPr>
      <w:rFonts w:ascii="Arial" w:hAnsi="Arial" w:cs="Arial" w:eastAsia="Arial"/>
      <w:b/>
      <w:color w:val="000000"/>
    </w:rPr>
    <w:pPr>
      <w:numPr>
        <w:numId w:val="8"/>
      </w:numPr>
      <w:ind w:left="10" w:hanging="10"/>
      <w:keepLines/>
      <w:keepNext/>
      <w:spacing w:after="259"/>
      <w:outlineLvl w:val="0"/>
    </w:pPr>
  </w:style>
  <w:style w:type="character" w:styleId="616" w:default="1">
    <w:name w:val="Default Paragraph Font"/>
    <w:uiPriority w:val="1"/>
    <w:semiHidden/>
    <w:unhideWhenUsed/>
  </w:style>
  <w:style w:type="table" w:styleId="61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8" w:default="1">
    <w:name w:val="No List"/>
    <w:uiPriority w:val="99"/>
    <w:semiHidden/>
    <w:unhideWhenUsed/>
  </w:style>
  <w:style w:type="character" w:styleId="619" w:customStyle="1">
    <w:name w:val="Заголовок 1 Знак"/>
    <w:link w:val="615"/>
    <w:rPr>
      <w:rFonts w:ascii="Arial" w:hAnsi="Arial" w:cs="Arial" w:eastAsia="Arial"/>
      <w:b/>
      <w:color w:val="000000"/>
      <w:sz w:val="22"/>
    </w:rPr>
  </w:style>
  <w:style w:type="paragraph" w:styleId="620">
    <w:name w:val="Balloon Text"/>
    <w:basedOn w:val="614"/>
    <w:link w:val="621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621" w:customStyle="1">
    <w:name w:val="Текст выноски Знак"/>
    <w:basedOn w:val="616"/>
    <w:link w:val="620"/>
    <w:uiPriority w:val="99"/>
    <w:semiHidden/>
    <w:rPr>
      <w:rFonts w:ascii="Segoe UI" w:hAnsi="Segoe UI" w:cs="Segoe UI" w:eastAsia="Arial"/>
      <w:color w:val="000000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Андрей Алипов</cp:lastModifiedBy>
  <cp:revision>7</cp:revision>
  <dcterms:created xsi:type="dcterms:W3CDTF">2021-12-29T09:09:00Z</dcterms:created>
  <dcterms:modified xsi:type="dcterms:W3CDTF">2022-01-25T14:12:38Z</dcterms:modified>
</cp:coreProperties>
</file>